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B526" w14:textId="1E98DC1E" w:rsidR="00CE6D76" w:rsidRDefault="00DD0189">
      <w:r>
        <w:t>Wzór kosztorysu</w:t>
      </w:r>
    </w:p>
    <w:p w14:paraId="26B17410" w14:textId="2F05DE16" w:rsidR="00A2699B" w:rsidRDefault="00DD0189">
      <w:r>
        <w:t>Najczęstszym powodem odrzucenia wniosku o dofinansowanie</w:t>
      </w:r>
      <w:r w:rsidR="007D2A95">
        <w:t xml:space="preserve"> wyjazdu (krajowego lub zagranicznego)</w:t>
      </w:r>
      <w:r>
        <w:t xml:space="preserve"> jest niepoprawny kosztorys. Aby przygotować go dobrze, nie trzeba przeprowadzać skomplikowanych wyliczeń ani pisemnie uzasadniać każdej </w:t>
      </w:r>
      <w:r w:rsidR="007D2A95">
        <w:t xml:space="preserve">wydanej </w:t>
      </w:r>
      <w:r>
        <w:t>złotówki. Komisja Konkursowa potrzebuje</w:t>
      </w:r>
      <w:r w:rsidR="007D2A95">
        <w:t xml:space="preserve"> kosztorysu,</w:t>
      </w:r>
      <w:r>
        <w:t xml:space="preserve"> żeby sprawdzić, czy zaplanowane wydatki są zgodne z regulaminem i mogą zostać rozliczone. Z dofinansowania z Konkursu można pokryć np. nocleg i wyżywienie, ale nie można członkostwa w organizacji. </w:t>
      </w:r>
      <w:r w:rsidR="00A2699B">
        <w:t xml:space="preserve">Ponadto kosztorys jest dokumentem, dzięki któremu Komisja upewnia się, że nie ma miejsca podwójne finansowanie – to szczególnie istotne, jeśli Konkurs pokrywa tylko część kosztów wyjazdu. </w:t>
      </w:r>
    </w:p>
    <w:p w14:paraId="0F25C8FD" w14:textId="2258BE6B" w:rsidR="007D2A95" w:rsidRDefault="007D2A95">
      <w:r>
        <w:t>Przykładowy kosztorys wyjazdu zagranicznego finansowanego z Konkursu TD UJ, grantu oraz środków własnych: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885"/>
        <w:gridCol w:w="2430"/>
        <w:gridCol w:w="3135"/>
      </w:tblGrid>
      <w:tr w:rsidR="00A2699B" w:rsidRPr="00A2699B" w14:paraId="750829B0" w14:textId="77777777" w:rsidTr="00976D73">
        <w:trPr>
          <w:trHeight w:val="340"/>
        </w:trPr>
        <w:tc>
          <w:tcPr>
            <w:tcW w:w="645" w:type="dxa"/>
            <w:hideMark/>
          </w:tcPr>
          <w:p w14:paraId="6C6D5985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b/>
                <w:bCs/>
                <w:lang w:eastAsia="pl-PL"/>
              </w:rPr>
              <w:t>Lp.  </w:t>
            </w:r>
          </w:p>
        </w:tc>
        <w:tc>
          <w:tcPr>
            <w:tcW w:w="3885" w:type="dxa"/>
            <w:hideMark/>
          </w:tcPr>
          <w:p w14:paraId="3A103492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b/>
                <w:bCs/>
                <w:lang w:eastAsia="pl-PL"/>
              </w:rPr>
              <w:t>Nazwa wydatku </w:t>
            </w:r>
          </w:p>
        </w:tc>
        <w:tc>
          <w:tcPr>
            <w:tcW w:w="2430" w:type="dxa"/>
            <w:hideMark/>
          </w:tcPr>
          <w:p w14:paraId="1ABDA0D4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b/>
                <w:bCs/>
                <w:lang w:eastAsia="pl-PL"/>
              </w:rPr>
              <w:t>Kwota wydatku w PLN </w:t>
            </w:r>
          </w:p>
        </w:tc>
        <w:tc>
          <w:tcPr>
            <w:tcW w:w="3135" w:type="dxa"/>
            <w:hideMark/>
          </w:tcPr>
          <w:p w14:paraId="77CFAC0B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b/>
                <w:bCs/>
                <w:lang w:eastAsia="pl-PL"/>
              </w:rPr>
              <w:t>Źródło finansowania </w:t>
            </w:r>
          </w:p>
        </w:tc>
      </w:tr>
      <w:tr w:rsidR="00A2699B" w:rsidRPr="00A2699B" w14:paraId="328A5C70" w14:textId="77777777" w:rsidTr="00976D73">
        <w:trPr>
          <w:trHeight w:val="340"/>
        </w:trPr>
        <w:tc>
          <w:tcPr>
            <w:tcW w:w="645" w:type="dxa"/>
            <w:hideMark/>
          </w:tcPr>
          <w:p w14:paraId="55344357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1 </w:t>
            </w:r>
          </w:p>
        </w:tc>
        <w:tc>
          <w:tcPr>
            <w:tcW w:w="3885" w:type="dxa"/>
            <w:hideMark/>
          </w:tcPr>
          <w:p w14:paraId="51084AEE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Opłata konferencyjna  </w:t>
            </w:r>
          </w:p>
        </w:tc>
        <w:tc>
          <w:tcPr>
            <w:tcW w:w="2430" w:type="dxa"/>
            <w:hideMark/>
          </w:tcPr>
          <w:p w14:paraId="462F5CA2" w14:textId="303ED08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238,00</w:t>
            </w:r>
            <w:r w:rsidR="00E0510F">
              <w:rPr>
                <w:rFonts w:ascii="Calibri" w:eastAsia="Times New Roman" w:hAnsi="Calibri" w:cs="Calibri"/>
                <w:lang w:eastAsia="pl-PL"/>
              </w:rPr>
              <w:t xml:space="preserve"> (50 EUR)</w:t>
            </w:r>
          </w:p>
        </w:tc>
        <w:tc>
          <w:tcPr>
            <w:tcW w:w="3135" w:type="dxa"/>
            <w:hideMark/>
          </w:tcPr>
          <w:p w14:paraId="22019A54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Brak – koszt własny </w:t>
            </w:r>
          </w:p>
        </w:tc>
      </w:tr>
      <w:tr w:rsidR="00A2699B" w:rsidRPr="00A2699B" w14:paraId="66B6FDDA" w14:textId="77777777" w:rsidTr="00976D73">
        <w:trPr>
          <w:trHeight w:val="340"/>
        </w:trPr>
        <w:tc>
          <w:tcPr>
            <w:tcW w:w="645" w:type="dxa"/>
            <w:hideMark/>
          </w:tcPr>
          <w:p w14:paraId="0108F8F4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2 </w:t>
            </w:r>
          </w:p>
        </w:tc>
        <w:tc>
          <w:tcPr>
            <w:tcW w:w="3885" w:type="dxa"/>
            <w:hideMark/>
          </w:tcPr>
          <w:p w14:paraId="504347F6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Loty </w:t>
            </w:r>
          </w:p>
        </w:tc>
        <w:tc>
          <w:tcPr>
            <w:tcW w:w="2430" w:type="dxa"/>
            <w:hideMark/>
          </w:tcPr>
          <w:p w14:paraId="402C7F5C" w14:textId="7440A005" w:rsidR="00A2699B" w:rsidRPr="00A2699B" w:rsidRDefault="00E0510F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  <w:r w:rsidR="00A2699B" w:rsidRPr="00A2699B">
              <w:rPr>
                <w:rFonts w:ascii="Calibri" w:eastAsia="Times New Roman" w:hAnsi="Calibri" w:cs="Calibri"/>
                <w:lang w:eastAsia="pl-PL"/>
              </w:rPr>
              <w:t>00,00 </w:t>
            </w:r>
          </w:p>
        </w:tc>
        <w:tc>
          <w:tcPr>
            <w:tcW w:w="3135" w:type="dxa"/>
            <w:hideMark/>
          </w:tcPr>
          <w:p w14:paraId="061ECD4F" w14:textId="48E7C55A" w:rsidR="00A2699B" w:rsidRPr="00A2699B" w:rsidRDefault="00E0510F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700 – </w:t>
            </w:r>
            <w:r w:rsidR="00A2699B" w:rsidRPr="00A2699B">
              <w:rPr>
                <w:rFonts w:ascii="Calibri" w:eastAsia="Times New Roman" w:hAnsi="Calibri" w:cs="Calibri"/>
                <w:lang w:eastAsia="pl-PL"/>
              </w:rPr>
              <w:t>TD UJ</w:t>
            </w:r>
            <w:r>
              <w:rPr>
                <w:rFonts w:ascii="Calibri" w:eastAsia="Times New Roman" w:hAnsi="Calibri" w:cs="Calibri"/>
                <w:lang w:eastAsia="pl-PL"/>
              </w:rPr>
              <w:t>, 500 – grant</w:t>
            </w:r>
            <w:r w:rsidR="00A2699B" w:rsidRPr="00A2699B">
              <w:rPr>
                <w:rFonts w:ascii="Calibri" w:eastAsia="Times New Roman" w:hAnsi="Calibri" w:cs="Calibri"/>
                <w:lang w:eastAsia="pl-PL"/>
              </w:rPr>
              <w:t xml:space="preserve">  </w:t>
            </w:r>
          </w:p>
        </w:tc>
      </w:tr>
      <w:tr w:rsidR="00A2699B" w:rsidRPr="00A2699B" w14:paraId="5C58634E" w14:textId="77777777" w:rsidTr="00976D73">
        <w:trPr>
          <w:trHeight w:val="340"/>
        </w:trPr>
        <w:tc>
          <w:tcPr>
            <w:tcW w:w="645" w:type="dxa"/>
            <w:hideMark/>
          </w:tcPr>
          <w:p w14:paraId="15359034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3 </w:t>
            </w:r>
          </w:p>
        </w:tc>
        <w:tc>
          <w:tcPr>
            <w:tcW w:w="3885" w:type="dxa"/>
            <w:hideMark/>
          </w:tcPr>
          <w:p w14:paraId="42E9E5F8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Zakwaterowanie - hotel </w:t>
            </w:r>
          </w:p>
        </w:tc>
        <w:tc>
          <w:tcPr>
            <w:tcW w:w="2430" w:type="dxa"/>
            <w:hideMark/>
          </w:tcPr>
          <w:p w14:paraId="22283516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800,00 </w:t>
            </w:r>
          </w:p>
        </w:tc>
        <w:tc>
          <w:tcPr>
            <w:tcW w:w="3135" w:type="dxa"/>
            <w:hideMark/>
          </w:tcPr>
          <w:p w14:paraId="7B89463C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TD UJ</w:t>
            </w:r>
          </w:p>
        </w:tc>
      </w:tr>
      <w:tr w:rsidR="00A2699B" w:rsidRPr="00A2699B" w14:paraId="6AD27739" w14:textId="77777777" w:rsidTr="00976D73">
        <w:trPr>
          <w:trHeight w:val="340"/>
        </w:trPr>
        <w:tc>
          <w:tcPr>
            <w:tcW w:w="645" w:type="dxa"/>
            <w:hideMark/>
          </w:tcPr>
          <w:p w14:paraId="45E69CC0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4 </w:t>
            </w:r>
          </w:p>
        </w:tc>
        <w:tc>
          <w:tcPr>
            <w:tcW w:w="3885" w:type="dxa"/>
            <w:hideMark/>
          </w:tcPr>
          <w:p w14:paraId="3B183D6E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Dojazdy na miejsce konferencji z hotelu </w:t>
            </w:r>
          </w:p>
        </w:tc>
        <w:tc>
          <w:tcPr>
            <w:tcW w:w="2430" w:type="dxa"/>
            <w:hideMark/>
          </w:tcPr>
          <w:p w14:paraId="2BF969F9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100,00 </w:t>
            </w:r>
          </w:p>
        </w:tc>
        <w:tc>
          <w:tcPr>
            <w:tcW w:w="3135" w:type="dxa"/>
            <w:hideMark/>
          </w:tcPr>
          <w:p w14:paraId="1A63341A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TD UJ</w:t>
            </w:r>
          </w:p>
        </w:tc>
      </w:tr>
      <w:tr w:rsidR="00A2699B" w:rsidRPr="00A2699B" w14:paraId="329BAF02" w14:textId="77777777" w:rsidTr="00976D73">
        <w:trPr>
          <w:trHeight w:val="649"/>
        </w:trPr>
        <w:tc>
          <w:tcPr>
            <w:tcW w:w="645" w:type="dxa"/>
            <w:hideMark/>
          </w:tcPr>
          <w:p w14:paraId="2734C53D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5 </w:t>
            </w:r>
          </w:p>
        </w:tc>
        <w:tc>
          <w:tcPr>
            <w:tcW w:w="3885" w:type="dxa"/>
            <w:hideMark/>
          </w:tcPr>
          <w:p w14:paraId="2E7F6EA2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Wyżywienie </w:t>
            </w:r>
          </w:p>
        </w:tc>
        <w:tc>
          <w:tcPr>
            <w:tcW w:w="2430" w:type="dxa"/>
            <w:hideMark/>
          </w:tcPr>
          <w:p w14:paraId="69C3FC8A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500,00 </w:t>
            </w:r>
          </w:p>
        </w:tc>
        <w:tc>
          <w:tcPr>
            <w:tcW w:w="3135" w:type="dxa"/>
            <w:hideMark/>
          </w:tcPr>
          <w:p w14:paraId="1EBC231C" w14:textId="77777777" w:rsidR="00A2699B" w:rsidRPr="00A2699B" w:rsidRDefault="00A2699B" w:rsidP="0097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9B">
              <w:rPr>
                <w:rFonts w:ascii="Calibri" w:eastAsia="Times New Roman" w:hAnsi="Calibri" w:cs="Calibri"/>
                <w:lang w:eastAsia="pl-PL"/>
              </w:rPr>
              <w:t>200 zł – TD UJ, 300 zł – koszt własny</w:t>
            </w:r>
          </w:p>
        </w:tc>
      </w:tr>
    </w:tbl>
    <w:p w14:paraId="2169A1B5" w14:textId="5CF64F03" w:rsidR="00A2699B" w:rsidRDefault="00E0510F">
      <w:r>
        <w:t>Suma dofinansowania z TD UJ: 1800 zł</w:t>
      </w:r>
    </w:p>
    <w:p w14:paraId="4A020D33" w14:textId="1491A5B7" w:rsidR="00E0510F" w:rsidRPr="00E0510F" w:rsidRDefault="00E0510F">
      <w:r>
        <w:t xml:space="preserve">Jeśli Komisja uzna przedstawione koszty za zbyt wysokie (np. znajdzie tańsze loty w tym terminie lub uzna któryś wydatek za nieregulaminowy lub niepotrzebny), może przyznać odpowiednio mniejsze dofinansowanie. Kosztorys nieuwzględniający </w:t>
      </w:r>
      <w:r w:rsidR="008B1705">
        <w:t xml:space="preserve">TD UJ jako </w:t>
      </w:r>
      <w:r>
        <w:t xml:space="preserve">źródła dofinansowania </w:t>
      </w:r>
      <w:r w:rsidR="008B1705">
        <w:t>powoduje odrzucenie całego wniosku, który w takim wypadku bezzasadny.</w:t>
      </w:r>
    </w:p>
    <w:sectPr w:rsidR="00E0510F" w:rsidRPr="00E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89"/>
    <w:rsid w:val="00163FE5"/>
    <w:rsid w:val="007D2A95"/>
    <w:rsid w:val="008B1705"/>
    <w:rsid w:val="00A2699B"/>
    <w:rsid w:val="00B55DCB"/>
    <w:rsid w:val="00CE6D76"/>
    <w:rsid w:val="00DD0189"/>
    <w:rsid w:val="00E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0030"/>
  <w15:chartTrackingRefBased/>
  <w15:docId w15:val="{AAA4921B-668F-4500-ACA4-2BADF5E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Dunikowski</dc:creator>
  <cp:keywords/>
  <dc:description/>
  <cp:lastModifiedBy>Mikołaj Dunikowski</cp:lastModifiedBy>
  <cp:revision>2</cp:revision>
  <dcterms:created xsi:type="dcterms:W3CDTF">2022-08-24T08:39:00Z</dcterms:created>
  <dcterms:modified xsi:type="dcterms:W3CDTF">2022-08-24T08:58:00Z</dcterms:modified>
</cp:coreProperties>
</file>